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C64" w:rsidRPr="006F66A3" w:rsidRDefault="00000000">
      <w:pPr>
        <w:pStyle w:val="Heading1"/>
        <w:rPr>
          <w:rFonts w:ascii="Impact" w:hAnsi="Impact"/>
          <w:sz w:val="48"/>
          <w:szCs w:val="48"/>
        </w:rPr>
      </w:pPr>
      <w:bookmarkStart w:id="0" w:name="_mm4k41xij9l1" w:colFirst="0" w:colLast="0"/>
      <w:bookmarkEnd w:id="0"/>
      <w:r w:rsidRPr="006F66A3">
        <w:rPr>
          <w:rFonts w:ascii="Impact" w:hAnsi="Impact"/>
          <w:sz w:val="48"/>
          <w:szCs w:val="48"/>
        </w:rPr>
        <w:t>Bloom’s Taxonomy Revisited</w:t>
      </w:r>
    </w:p>
    <w:p w:rsidR="00F16C64" w:rsidRPr="006F66A3" w:rsidRDefault="00000000">
      <w:pPr>
        <w:pStyle w:val="Subtitle"/>
        <w:rPr>
          <w:rFonts w:ascii="Verdana" w:hAnsi="Verdana"/>
        </w:rPr>
      </w:pPr>
      <w:bookmarkStart w:id="1" w:name="_h8kd2aii639n" w:colFirst="0" w:colLast="0"/>
      <w:bookmarkEnd w:id="1"/>
      <w:r w:rsidRPr="006F66A3">
        <w:rPr>
          <w:rFonts w:ascii="Verdana" w:hAnsi="Verdana"/>
        </w:rPr>
        <w:t xml:space="preserve">By Oregon State University </w:t>
      </w:r>
      <w:proofErr w:type="spellStart"/>
      <w:r w:rsidRPr="006F66A3">
        <w:rPr>
          <w:rFonts w:ascii="Verdana" w:hAnsi="Verdana"/>
        </w:rPr>
        <w:t>Ecampus</w:t>
      </w:r>
      <w:proofErr w:type="spellEnd"/>
    </w:p>
    <w:p w:rsidR="00F16C64" w:rsidRPr="006F66A3" w:rsidRDefault="00000000">
      <w:pPr>
        <w:rPr>
          <w:rFonts w:ascii="Verdana" w:hAnsi="Verdana"/>
        </w:rPr>
      </w:pPr>
      <w:r w:rsidRPr="006F66A3">
        <w:rPr>
          <w:rFonts w:ascii="Verdana" w:hAnsi="Verdana"/>
        </w:rPr>
        <w:t>Use this table as a reference for evaluating and considering changes to aligned course activities (or, where possible, learning outcomes) that emphasize distinctive human skills and/or integrate generative AI (</w:t>
      </w:r>
      <w:proofErr w:type="spellStart"/>
      <w:r w:rsidRPr="006F66A3">
        <w:rPr>
          <w:rFonts w:ascii="Verdana" w:hAnsi="Verdana"/>
        </w:rPr>
        <w:t>GenAI</w:t>
      </w:r>
      <w:proofErr w:type="spellEnd"/>
      <w:r w:rsidRPr="006F66A3">
        <w:rPr>
          <w:rFonts w:ascii="Verdana" w:hAnsi="Verdana"/>
        </w:rPr>
        <w:t>) tools as a supplement to the learning process.</w:t>
      </w:r>
    </w:p>
    <w:p w:rsidR="00F16C64" w:rsidRPr="006F66A3" w:rsidRDefault="00F16C64">
      <w:pPr>
        <w:rPr>
          <w:rFonts w:ascii="Verdana" w:hAnsi="Verdana"/>
        </w:rPr>
      </w:pPr>
    </w:p>
    <w:p w:rsidR="00F16C64" w:rsidRPr="006F66A3" w:rsidRDefault="00000000">
      <w:pPr>
        <w:rPr>
          <w:rFonts w:ascii="Verdana" w:hAnsi="Verdana"/>
        </w:rPr>
      </w:pPr>
      <w:r w:rsidRPr="006F66A3">
        <w:rPr>
          <w:rFonts w:ascii="Verdana" w:hAnsi="Verdana"/>
        </w:rPr>
        <w:t xml:space="preserve">All course activities and assessments will benefit from ongoing review given the evolving capabilities of </w:t>
      </w:r>
      <w:proofErr w:type="spellStart"/>
      <w:r w:rsidRPr="006F66A3">
        <w:rPr>
          <w:rFonts w:ascii="Verdana" w:hAnsi="Verdana"/>
        </w:rPr>
        <w:t>GenAI</w:t>
      </w:r>
      <w:proofErr w:type="spellEnd"/>
      <w:r w:rsidRPr="006F66A3">
        <w:rPr>
          <w:rFonts w:ascii="Verdana" w:hAnsi="Verdana"/>
        </w:rPr>
        <w:t xml:space="preserve"> tools.</w:t>
      </w:r>
    </w:p>
    <w:p w:rsidR="00F16C64" w:rsidRPr="006F66A3" w:rsidRDefault="00F16C64">
      <w:pPr>
        <w:rPr>
          <w:rFonts w:ascii="Verdana" w:hAnsi="Verdana"/>
        </w:rPr>
      </w:pPr>
    </w:p>
    <w:p w:rsidR="00F16C64" w:rsidRPr="006F66A3" w:rsidRDefault="00000000">
      <w:pPr>
        <w:rPr>
          <w:rFonts w:ascii="Verdana" w:hAnsi="Verdana"/>
        </w:rPr>
      </w:pPr>
      <w:r w:rsidRPr="006F66A3">
        <w:rPr>
          <w:rFonts w:ascii="Verdana" w:hAnsi="Verdana"/>
        </w:rPr>
        <w:t>Version 2.0 (2024)</w:t>
      </w:r>
    </w:p>
    <w:p w:rsidR="00F16C64" w:rsidRPr="006F66A3" w:rsidRDefault="00000000">
      <w:pPr>
        <w:rPr>
          <w:rFonts w:ascii="Verdana" w:hAnsi="Verdana"/>
        </w:rPr>
      </w:pPr>
      <w:r w:rsidRPr="006F66A3">
        <w:rPr>
          <w:rFonts w:ascii="Verdana" w:hAnsi="Verdana"/>
        </w:rPr>
        <w:t xml:space="preserve">This work is licensed under </w:t>
      </w:r>
      <w:hyperlink r:id="rId4" w:history="1">
        <w:r w:rsidRPr="00C13F74">
          <w:rPr>
            <w:rStyle w:val="Hyperlink"/>
            <w:rFonts w:ascii="Verdana" w:hAnsi="Verdana"/>
          </w:rPr>
          <w:t>CC BY-NC 4.0</w:t>
        </w:r>
      </w:hyperlink>
    </w:p>
    <w:p w:rsidR="00F16C64" w:rsidRPr="006F66A3" w:rsidRDefault="00F16C64">
      <w:pPr>
        <w:rPr>
          <w:rFonts w:ascii="Verdana" w:hAnsi="Verdana"/>
        </w:rPr>
      </w:pPr>
    </w:p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695"/>
        <w:gridCol w:w="5325"/>
        <w:gridCol w:w="5940"/>
      </w:tblGrid>
      <w:tr w:rsidR="00F16C64" w:rsidRPr="006F66A3" w:rsidTr="00C13F74">
        <w:trPr>
          <w:tblHeader/>
        </w:trPr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F16C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b/>
              </w:rPr>
            </w:pPr>
            <w:r w:rsidRPr="006F66A3">
              <w:rPr>
                <w:rFonts w:ascii="Verdana" w:hAnsi="Verdana"/>
                <w:b/>
              </w:rPr>
              <w:t>Distinctive Human Skills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b/>
              </w:rPr>
            </w:pPr>
            <w:r w:rsidRPr="006F66A3">
              <w:rPr>
                <w:rFonts w:ascii="Verdana" w:hAnsi="Verdana"/>
                <w:b/>
              </w:rPr>
              <w:t xml:space="preserve">How </w:t>
            </w:r>
            <w:proofErr w:type="spellStart"/>
            <w:r w:rsidRPr="006F66A3">
              <w:rPr>
                <w:rFonts w:ascii="Verdana" w:hAnsi="Verdana"/>
                <w:b/>
              </w:rPr>
              <w:t>GenAI</w:t>
            </w:r>
            <w:proofErr w:type="spellEnd"/>
            <w:r w:rsidRPr="006F66A3">
              <w:rPr>
                <w:rFonts w:ascii="Verdana" w:hAnsi="Verdana"/>
                <w:b/>
              </w:rPr>
              <w:t xml:space="preserve"> can supplement learning processes</w:t>
            </w:r>
            <w:r w:rsidRPr="006F66A3">
              <w:rPr>
                <w:rFonts w:ascii="Cambria Math" w:hAnsi="Cambria Math" w:cs="Cambria Math"/>
                <w:b/>
              </w:rPr>
              <w:t>⁺</w:t>
            </w:r>
          </w:p>
        </w:tc>
      </w:tr>
      <w:tr w:rsidR="00F16C64" w:rsidRPr="006F66A3" w:rsidTr="00C13F74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b/>
              </w:rPr>
            </w:pPr>
            <w:r w:rsidRPr="006F66A3">
              <w:rPr>
                <w:rFonts w:ascii="Verdana" w:hAnsi="Verdana"/>
                <w:b/>
              </w:rPr>
              <w:t>Create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shd w:val="clear" w:color="auto" w:fill="FFFFFF"/>
              <w:spacing w:line="240" w:lineRule="auto"/>
              <w:rPr>
                <w:rFonts w:ascii="Verdana" w:hAnsi="Verdana"/>
                <w:color w:val="242424"/>
              </w:rPr>
            </w:pPr>
            <w:r w:rsidRPr="006F66A3">
              <w:rPr>
                <w:rFonts w:ascii="Verdana" w:hAnsi="Verdana"/>
                <w:color w:val="242424"/>
              </w:rPr>
              <w:t xml:space="preserve">Engage in both creative and cognitive processes that leverage human lived experiences, social-emotional interactions, intuition, reflection, and judgment to formulate original solutions. </w:t>
            </w:r>
          </w:p>
          <w:p w:rsidR="00F16C64" w:rsidRPr="006F66A3" w:rsidRDefault="00F16C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highlight w:val="yellow"/>
              </w:rPr>
            </w:pP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t>Support brainstorming processes; suggest a range of alternatives; enumerate potential drawbacks and advantages; describe successful real-world cases; create a tangible deliverable based on human inputs</w:t>
            </w:r>
          </w:p>
        </w:tc>
      </w:tr>
      <w:tr w:rsidR="00F16C64" w:rsidRPr="006F66A3" w:rsidTr="00C13F74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b/>
              </w:rPr>
            </w:pPr>
            <w:r w:rsidRPr="006F66A3">
              <w:rPr>
                <w:rFonts w:ascii="Verdana" w:hAnsi="Verdana"/>
                <w:b/>
              </w:rPr>
              <w:t>Evaluate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t>Engage in metacognitive reflection; holistically appraise ethical consequences of alternative courses of action; identify significance or situate within a full historical or disciplinary context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t>Identify pros and cons of various courses of action; develop and check against evaluation rubrics</w:t>
            </w:r>
          </w:p>
        </w:tc>
      </w:tr>
      <w:tr w:rsidR="00F16C64" w:rsidRPr="006F66A3" w:rsidTr="00C13F74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b/>
              </w:rPr>
            </w:pPr>
            <w:r w:rsidRPr="006F66A3">
              <w:rPr>
                <w:rFonts w:ascii="Verdana" w:hAnsi="Verdana"/>
                <w:b/>
              </w:rPr>
              <w:t>Analyze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t xml:space="preserve">Critically think and reason within the </w:t>
            </w:r>
            <w:r w:rsidRPr="006F66A3">
              <w:rPr>
                <w:rFonts w:ascii="Verdana" w:hAnsi="Verdana"/>
              </w:rPr>
              <w:lastRenderedPageBreak/>
              <w:t xml:space="preserve">cognitive and affective domains; justify analysis in depth and with clarity 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lastRenderedPageBreak/>
              <w:t xml:space="preserve">Compare and contrast data, infer trends and </w:t>
            </w:r>
            <w:r w:rsidRPr="006F66A3">
              <w:rPr>
                <w:rFonts w:ascii="Verdana" w:hAnsi="Verdana"/>
              </w:rPr>
              <w:lastRenderedPageBreak/>
              <w:t>themes in a narrowly-defined context; compute; predict; interpret and relate to real-world problems, decisions, and choices</w:t>
            </w:r>
          </w:p>
        </w:tc>
      </w:tr>
      <w:tr w:rsidR="00F16C64" w:rsidRPr="006F66A3" w:rsidTr="00C13F74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b/>
              </w:rPr>
            </w:pPr>
            <w:r w:rsidRPr="006F66A3">
              <w:rPr>
                <w:rFonts w:ascii="Verdana" w:hAnsi="Verdana"/>
                <w:b/>
              </w:rPr>
              <w:lastRenderedPageBreak/>
              <w:t>Apply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t>Operate, implement, conduct, execute, experiment, and test in the real world; apply human creativity and imagination to idea and solution development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t>Make use of a process, model, or method to solve a quantitative or qualitative inquiry; assist students in determining where they went wrong while solving a problem</w:t>
            </w:r>
          </w:p>
        </w:tc>
      </w:tr>
      <w:tr w:rsidR="00F16C64" w:rsidRPr="006F66A3" w:rsidTr="00C13F74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b/>
              </w:rPr>
            </w:pPr>
            <w:r w:rsidRPr="006F66A3">
              <w:rPr>
                <w:rFonts w:ascii="Verdana" w:hAnsi="Verdana"/>
                <w:b/>
              </w:rPr>
              <w:t>Understand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t>Contextualize answers within emotional, moral, or ethical considerations; select relevant information; explain significance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t>Accurately describe a concept in different words; recognize a related example; translate to another language</w:t>
            </w:r>
          </w:p>
        </w:tc>
      </w:tr>
      <w:tr w:rsidR="00F16C64" w:rsidRPr="006F66A3" w:rsidTr="00C13F74"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b/>
              </w:rPr>
            </w:pPr>
            <w:r w:rsidRPr="006F66A3">
              <w:rPr>
                <w:rFonts w:ascii="Verdana" w:hAnsi="Verdana"/>
                <w:b/>
              </w:rPr>
              <w:t>Remember</w:t>
            </w:r>
          </w:p>
        </w:tc>
        <w:tc>
          <w:tcPr>
            <w:tcW w:w="5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t>Recall information in situations where technology is not readily accessible</w:t>
            </w:r>
          </w:p>
        </w:tc>
        <w:tc>
          <w:tcPr>
            <w:tcW w:w="5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6C64" w:rsidRPr="006F66A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</w:rPr>
            </w:pPr>
            <w:r w:rsidRPr="006F66A3">
              <w:rPr>
                <w:rFonts w:ascii="Verdana" w:hAnsi="Verdana"/>
              </w:rPr>
              <w:t>Retrieve factual information; list possible answers; define a term; construct a basic chronology or timeline</w:t>
            </w:r>
          </w:p>
        </w:tc>
      </w:tr>
    </w:tbl>
    <w:p w:rsidR="00F16C64" w:rsidRPr="006F66A3" w:rsidRDefault="00F16C64">
      <w:pPr>
        <w:rPr>
          <w:rFonts w:ascii="Verdana" w:hAnsi="Verdana"/>
        </w:rPr>
      </w:pPr>
    </w:p>
    <w:p w:rsidR="00F16C64" w:rsidRPr="006F66A3" w:rsidRDefault="00000000">
      <w:pPr>
        <w:rPr>
          <w:rFonts w:ascii="Verdana" w:hAnsi="Verdana"/>
          <w:sz w:val="20"/>
          <w:szCs w:val="20"/>
        </w:rPr>
      </w:pPr>
      <w:r w:rsidRPr="006F66A3">
        <w:rPr>
          <w:rFonts w:ascii="Cambria Math" w:hAnsi="Cambria Math" w:cs="Cambria Math"/>
          <w:sz w:val="20"/>
          <w:szCs w:val="20"/>
        </w:rPr>
        <w:t>⁺</w:t>
      </w:r>
      <w:r w:rsidRPr="006F66A3">
        <w:rPr>
          <w:rFonts w:ascii="Verdana" w:hAnsi="Verdana"/>
          <w:sz w:val="20"/>
          <w:szCs w:val="20"/>
        </w:rPr>
        <w:t xml:space="preserve">AI capabilities derived with reference to an analysis of the MAGE framework across multiple disciplines, based on </w:t>
      </w:r>
      <w:proofErr w:type="spellStart"/>
      <w:r w:rsidRPr="006F66A3">
        <w:rPr>
          <w:rFonts w:ascii="Verdana" w:hAnsi="Verdana"/>
          <w:sz w:val="20"/>
          <w:szCs w:val="20"/>
        </w:rPr>
        <w:t>ChatGPT</w:t>
      </w:r>
      <w:proofErr w:type="spellEnd"/>
      <w:r w:rsidRPr="006F66A3">
        <w:rPr>
          <w:rFonts w:ascii="Verdana" w:hAnsi="Verdana"/>
          <w:sz w:val="20"/>
          <w:szCs w:val="20"/>
        </w:rPr>
        <w:t xml:space="preserve"> 4 as of October 2023. See </w:t>
      </w:r>
      <w:proofErr w:type="spellStart"/>
      <w:r w:rsidRPr="006F66A3">
        <w:rPr>
          <w:rFonts w:ascii="Verdana" w:hAnsi="Verdana"/>
          <w:color w:val="222222"/>
          <w:sz w:val="20"/>
          <w:szCs w:val="20"/>
          <w:highlight w:val="white"/>
        </w:rPr>
        <w:t>Zaphir</w:t>
      </w:r>
      <w:proofErr w:type="spellEnd"/>
      <w:r w:rsidRPr="006F66A3">
        <w:rPr>
          <w:rFonts w:ascii="Verdana" w:hAnsi="Verdana"/>
          <w:color w:val="222222"/>
          <w:sz w:val="20"/>
          <w:szCs w:val="20"/>
          <w:highlight w:val="white"/>
        </w:rPr>
        <w:t xml:space="preserve">, L., Lodge, J. M., </w:t>
      </w:r>
      <w:proofErr w:type="spellStart"/>
      <w:r w:rsidRPr="006F66A3">
        <w:rPr>
          <w:rFonts w:ascii="Verdana" w:hAnsi="Verdana"/>
          <w:color w:val="222222"/>
          <w:sz w:val="20"/>
          <w:szCs w:val="20"/>
          <w:highlight w:val="white"/>
        </w:rPr>
        <w:t>Lisec</w:t>
      </w:r>
      <w:proofErr w:type="spellEnd"/>
      <w:r w:rsidRPr="006F66A3">
        <w:rPr>
          <w:rFonts w:ascii="Verdana" w:hAnsi="Verdana"/>
          <w:color w:val="222222"/>
          <w:sz w:val="20"/>
          <w:szCs w:val="20"/>
          <w:highlight w:val="white"/>
        </w:rPr>
        <w:t xml:space="preserve">, J., McGrath, D., &amp; </w:t>
      </w:r>
      <w:proofErr w:type="spellStart"/>
      <w:r w:rsidRPr="006F66A3">
        <w:rPr>
          <w:rFonts w:ascii="Verdana" w:hAnsi="Verdana"/>
          <w:color w:val="222222"/>
          <w:sz w:val="20"/>
          <w:szCs w:val="20"/>
          <w:highlight w:val="white"/>
        </w:rPr>
        <w:t>Khosravi</w:t>
      </w:r>
      <w:proofErr w:type="spellEnd"/>
      <w:r w:rsidRPr="006F66A3">
        <w:rPr>
          <w:rFonts w:ascii="Verdana" w:hAnsi="Verdana"/>
          <w:color w:val="222222"/>
          <w:sz w:val="20"/>
          <w:szCs w:val="20"/>
          <w:highlight w:val="white"/>
        </w:rPr>
        <w:t xml:space="preserve">, H. (2024). </w:t>
      </w:r>
      <w:hyperlink r:id="rId5">
        <w:r w:rsidRPr="006F66A3">
          <w:rPr>
            <w:rFonts w:ascii="Verdana" w:hAnsi="Verdana"/>
            <w:color w:val="1155CC"/>
            <w:sz w:val="20"/>
            <w:szCs w:val="20"/>
            <w:highlight w:val="white"/>
            <w:u w:val="single"/>
          </w:rPr>
          <w:t>How critically can an AI think? A framework for evaluating the quality of thinking of generative artificial intelligence</w:t>
        </w:r>
      </w:hyperlink>
      <w:r w:rsidRPr="006F66A3">
        <w:rPr>
          <w:rFonts w:ascii="Verdana" w:hAnsi="Verdana"/>
          <w:color w:val="222222"/>
          <w:sz w:val="20"/>
          <w:szCs w:val="20"/>
          <w:highlight w:val="white"/>
        </w:rPr>
        <w:t xml:space="preserve">. </w:t>
      </w:r>
      <w:proofErr w:type="spellStart"/>
      <w:r w:rsidRPr="006F66A3">
        <w:rPr>
          <w:rFonts w:ascii="Verdana" w:hAnsi="Verdana"/>
          <w:i/>
          <w:color w:val="222222"/>
          <w:sz w:val="20"/>
          <w:szCs w:val="20"/>
          <w:highlight w:val="white"/>
        </w:rPr>
        <w:t>arXiv</w:t>
      </w:r>
      <w:proofErr w:type="spellEnd"/>
      <w:r w:rsidRPr="006F66A3">
        <w:rPr>
          <w:rFonts w:ascii="Verdana" w:hAnsi="Verdana"/>
          <w:i/>
          <w:color w:val="222222"/>
          <w:sz w:val="20"/>
          <w:szCs w:val="20"/>
          <w:highlight w:val="white"/>
        </w:rPr>
        <w:t xml:space="preserve"> preprint arXiv:2406.14769</w:t>
      </w:r>
      <w:r w:rsidRPr="006F66A3">
        <w:rPr>
          <w:rFonts w:ascii="Verdana" w:hAnsi="Verdana"/>
          <w:color w:val="222222"/>
          <w:sz w:val="20"/>
          <w:szCs w:val="20"/>
          <w:highlight w:val="white"/>
        </w:rPr>
        <w:t>.</w:t>
      </w:r>
    </w:p>
    <w:p w:rsidR="00F16C64" w:rsidRPr="006F66A3" w:rsidRDefault="00F16C64">
      <w:pPr>
        <w:rPr>
          <w:rFonts w:ascii="Verdana" w:hAnsi="Verdana"/>
        </w:rPr>
      </w:pPr>
    </w:p>
    <w:p w:rsidR="00F16C64" w:rsidRPr="006F66A3" w:rsidRDefault="00F16C64">
      <w:pPr>
        <w:rPr>
          <w:rFonts w:ascii="Verdana" w:hAnsi="Verdana"/>
        </w:rPr>
      </w:pPr>
    </w:p>
    <w:p w:rsidR="00F16C64" w:rsidRPr="006F66A3" w:rsidRDefault="00F16C64">
      <w:pPr>
        <w:rPr>
          <w:rFonts w:ascii="Verdana" w:hAnsi="Verdana"/>
        </w:rPr>
      </w:pPr>
    </w:p>
    <w:sectPr w:rsidR="00F16C64" w:rsidRPr="006F66A3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C64"/>
    <w:rsid w:val="006F66A3"/>
    <w:rsid w:val="00B37139"/>
    <w:rsid w:val="00C13F74"/>
    <w:rsid w:val="00F1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968EBDD-98F6-7B41-852D-6D76999C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C13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xiv.org/abs/2406.14769" TargetMode="External"/><Relationship Id="rId4" Type="http://schemas.openxmlformats.org/officeDocument/2006/relationships/hyperlink" Target="https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McAlvage</cp:lastModifiedBy>
  <cp:revision>3</cp:revision>
  <dcterms:created xsi:type="dcterms:W3CDTF">2024-09-04T17:58:00Z</dcterms:created>
  <dcterms:modified xsi:type="dcterms:W3CDTF">2024-09-05T16:40:00Z</dcterms:modified>
</cp:coreProperties>
</file>